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8317F" w:rsidRDefault="00000000">
      <w:pPr>
        <w:jc w:val="center"/>
        <w:rPr>
          <w:sz w:val="28"/>
          <w:szCs w:val="28"/>
        </w:rPr>
      </w:pPr>
      <w:r>
        <w:rPr>
          <w:sz w:val="28"/>
          <w:szCs w:val="28"/>
        </w:rPr>
        <w:t xml:space="preserve">How to Do Research </w:t>
      </w:r>
    </w:p>
    <w:p w14:paraId="00000002" w14:textId="77777777" w:rsidR="0038317F" w:rsidRDefault="00000000">
      <w:pPr>
        <w:jc w:val="center"/>
        <w:rPr>
          <w:i/>
          <w:sz w:val="24"/>
          <w:szCs w:val="24"/>
        </w:rPr>
      </w:pPr>
      <w:r>
        <w:rPr>
          <w:i/>
          <w:sz w:val="24"/>
          <w:szCs w:val="24"/>
        </w:rPr>
        <w:t>Student</w:t>
      </w:r>
    </w:p>
    <w:p w14:paraId="00000003" w14:textId="77777777" w:rsidR="0038317F" w:rsidRDefault="0038317F">
      <w:pPr>
        <w:jc w:val="center"/>
        <w:rPr>
          <w:i/>
          <w:sz w:val="24"/>
          <w:szCs w:val="24"/>
        </w:rPr>
      </w:pPr>
    </w:p>
    <w:p w14:paraId="00000004" w14:textId="306FA60E" w:rsidR="0038317F" w:rsidRPr="0091050A" w:rsidRDefault="00000000">
      <w:pPr>
        <w:rPr>
          <w:i/>
          <w:color w:val="212529"/>
          <w:sz w:val="27"/>
          <w:szCs w:val="27"/>
          <w:highlight w:val="white"/>
        </w:rPr>
      </w:pPr>
      <w:r>
        <w:rPr>
          <w:color w:val="212529"/>
          <w:sz w:val="27"/>
          <w:szCs w:val="27"/>
          <w:highlight w:val="white"/>
        </w:rPr>
        <w:t xml:space="preserve">In this tutorial, we will look at How to Do Research in </w:t>
      </w:r>
      <w:r>
        <w:rPr>
          <w:i/>
          <w:color w:val="212529"/>
          <w:sz w:val="27"/>
          <w:szCs w:val="27"/>
          <w:highlight w:val="white"/>
        </w:rPr>
        <w:t xml:space="preserve">Student. </w:t>
      </w:r>
      <w:r>
        <w:rPr>
          <w:color w:val="212529"/>
          <w:sz w:val="27"/>
          <w:szCs w:val="27"/>
          <w:highlight w:val="white"/>
        </w:rPr>
        <w:t xml:space="preserve">Knowing how to do research is a valuable skill that you will use again and again throughout your life. You can find How to Do Research in the main menu of </w:t>
      </w:r>
      <w:r>
        <w:rPr>
          <w:i/>
          <w:color w:val="212529"/>
          <w:sz w:val="27"/>
          <w:szCs w:val="27"/>
          <w:highlight w:val="white"/>
        </w:rPr>
        <w:t xml:space="preserve">Student. </w:t>
      </w:r>
      <w:r>
        <w:rPr>
          <w:color w:val="212529"/>
          <w:sz w:val="27"/>
          <w:szCs w:val="27"/>
          <w:highlight w:val="white"/>
        </w:rPr>
        <w:t xml:space="preserve">How to Do Research allows you to start from the beginning of the research process with an introduction to research skills or you can choose to start at any stage of the research process. There are two ways to navigate to specific skills. You can select a skill from the center of the home page and use the arrow to go back to the beginning or use the table of contents on the left. Within each skill, there are additional subskills. This ensures that students and patrons can find the exact help they’re looking for. </w:t>
      </w:r>
      <w:r>
        <w:rPr>
          <w:color w:val="212529"/>
          <w:sz w:val="27"/>
          <w:szCs w:val="27"/>
        </w:rPr>
        <w:t xml:space="preserve">Once you have clicked on a specific step of the process, the pop-out menu is hidden. To get back to the menu, simply click here to reveal the rest of the skills. Select another to navigate to that section of </w:t>
      </w:r>
      <w:r w:rsidR="00273B61">
        <w:rPr>
          <w:color w:val="212529"/>
          <w:sz w:val="27"/>
          <w:szCs w:val="27"/>
        </w:rPr>
        <w:t>How to Do Research</w:t>
      </w:r>
      <w:r>
        <w:rPr>
          <w:color w:val="212529"/>
          <w:sz w:val="27"/>
          <w:szCs w:val="27"/>
        </w:rPr>
        <w:t>.</w:t>
      </w:r>
      <w:r>
        <w:rPr>
          <w:color w:val="212529"/>
          <w:sz w:val="27"/>
          <w:szCs w:val="27"/>
          <w:highlight w:val="white"/>
        </w:rPr>
        <w:t xml:space="preserve"> Using the pop-out menu allows you to quickly navigate to each subskill.</w:t>
      </w:r>
    </w:p>
    <w:p w14:paraId="00000005" w14:textId="77777777" w:rsidR="0038317F" w:rsidRDefault="0038317F">
      <w:pPr>
        <w:rPr>
          <w:color w:val="212529"/>
          <w:sz w:val="27"/>
          <w:szCs w:val="27"/>
          <w:highlight w:val="white"/>
        </w:rPr>
      </w:pPr>
    </w:p>
    <w:p w14:paraId="00000006" w14:textId="77777777" w:rsidR="0038317F" w:rsidRDefault="0038317F">
      <w:pPr>
        <w:rPr>
          <w:color w:val="980000"/>
          <w:sz w:val="27"/>
          <w:szCs w:val="27"/>
        </w:rPr>
      </w:pPr>
    </w:p>
    <w:p w14:paraId="00000007" w14:textId="77777777" w:rsidR="0038317F" w:rsidRDefault="0038317F">
      <w:pPr>
        <w:ind w:left="340"/>
        <w:rPr>
          <w:sz w:val="24"/>
          <w:szCs w:val="24"/>
        </w:rPr>
      </w:pPr>
    </w:p>
    <w:p w14:paraId="00000008" w14:textId="77777777" w:rsidR="0038317F" w:rsidRDefault="00000000">
      <w:pPr>
        <w:ind w:left="340"/>
        <w:rPr>
          <w:sz w:val="20"/>
          <w:szCs w:val="20"/>
        </w:rPr>
      </w:pPr>
      <w:r>
        <w:rPr>
          <w:sz w:val="20"/>
          <w:szCs w:val="20"/>
        </w:rPr>
        <w:t xml:space="preserve"> </w:t>
      </w:r>
    </w:p>
    <w:p w14:paraId="00000009" w14:textId="77777777" w:rsidR="0038317F" w:rsidRDefault="0038317F">
      <w:pPr>
        <w:rPr>
          <w:sz w:val="24"/>
          <w:szCs w:val="24"/>
        </w:rPr>
      </w:pPr>
    </w:p>
    <w:p w14:paraId="0000000A" w14:textId="77777777" w:rsidR="0038317F" w:rsidRDefault="0038317F">
      <w:pPr>
        <w:jc w:val="center"/>
        <w:rPr>
          <w:sz w:val="28"/>
          <w:szCs w:val="28"/>
        </w:rPr>
      </w:pPr>
    </w:p>
    <w:p w14:paraId="0000000B" w14:textId="77777777" w:rsidR="0038317F" w:rsidRDefault="0038317F">
      <w:pPr>
        <w:jc w:val="center"/>
        <w:rPr>
          <w:sz w:val="28"/>
          <w:szCs w:val="28"/>
        </w:rPr>
      </w:pPr>
    </w:p>
    <w:p w14:paraId="0000000C" w14:textId="77777777" w:rsidR="0038317F" w:rsidRDefault="0038317F">
      <w:pPr>
        <w:jc w:val="center"/>
        <w:rPr>
          <w:sz w:val="28"/>
          <w:szCs w:val="28"/>
        </w:rPr>
      </w:pPr>
    </w:p>
    <w:p w14:paraId="0000000D" w14:textId="77777777" w:rsidR="0038317F" w:rsidRDefault="0038317F">
      <w:pPr>
        <w:jc w:val="center"/>
        <w:rPr>
          <w:sz w:val="28"/>
          <w:szCs w:val="28"/>
        </w:rPr>
      </w:pPr>
    </w:p>
    <w:p w14:paraId="0000000E" w14:textId="77777777" w:rsidR="0038317F" w:rsidRDefault="0038317F">
      <w:pPr>
        <w:jc w:val="center"/>
        <w:rPr>
          <w:sz w:val="28"/>
          <w:szCs w:val="28"/>
        </w:rPr>
      </w:pPr>
    </w:p>
    <w:p w14:paraId="0000000F" w14:textId="77777777" w:rsidR="0038317F" w:rsidRDefault="0038317F">
      <w:pPr>
        <w:jc w:val="center"/>
        <w:rPr>
          <w:sz w:val="28"/>
          <w:szCs w:val="28"/>
        </w:rPr>
      </w:pPr>
    </w:p>
    <w:p w14:paraId="00000010" w14:textId="77777777" w:rsidR="0038317F" w:rsidRDefault="0038317F">
      <w:pPr>
        <w:jc w:val="center"/>
        <w:rPr>
          <w:sz w:val="28"/>
          <w:szCs w:val="28"/>
        </w:rPr>
      </w:pPr>
    </w:p>
    <w:p w14:paraId="00000011" w14:textId="77777777" w:rsidR="0038317F" w:rsidRDefault="0038317F">
      <w:pPr>
        <w:jc w:val="center"/>
        <w:rPr>
          <w:sz w:val="28"/>
          <w:szCs w:val="28"/>
        </w:rPr>
      </w:pPr>
    </w:p>
    <w:p w14:paraId="00000012" w14:textId="77777777" w:rsidR="0038317F" w:rsidRDefault="0038317F">
      <w:pPr>
        <w:jc w:val="center"/>
        <w:rPr>
          <w:sz w:val="28"/>
          <w:szCs w:val="28"/>
        </w:rPr>
      </w:pPr>
    </w:p>
    <w:p w14:paraId="00000013" w14:textId="77777777" w:rsidR="0038317F" w:rsidRDefault="0038317F">
      <w:pPr>
        <w:jc w:val="center"/>
        <w:rPr>
          <w:sz w:val="28"/>
          <w:szCs w:val="28"/>
        </w:rPr>
      </w:pPr>
    </w:p>
    <w:p w14:paraId="00000014" w14:textId="77777777" w:rsidR="0038317F" w:rsidRDefault="0038317F">
      <w:pPr>
        <w:jc w:val="center"/>
        <w:rPr>
          <w:sz w:val="28"/>
          <w:szCs w:val="28"/>
        </w:rPr>
      </w:pPr>
    </w:p>
    <w:p w14:paraId="00000015" w14:textId="77777777" w:rsidR="0038317F" w:rsidRDefault="0038317F">
      <w:pPr>
        <w:jc w:val="center"/>
        <w:rPr>
          <w:sz w:val="28"/>
          <w:szCs w:val="28"/>
        </w:rPr>
      </w:pPr>
    </w:p>
    <w:p w14:paraId="00000016" w14:textId="77777777" w:rsidR="0038317F" w:rsidRDefault="0038317F">
      <w:pPr>
        <w:rPr>
          <w:sz w:val="24"/>
          <w:szCs w:val="24"/>
        </w:rPr>
      </w:pPr>
    </w:p>
    <w:sectPr w:rsidR="0038317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17F"/>
    <w:rsid w:val="00273B61"/>
    <w:rsid w:val="0038317F"/>
    <w:rsid w:val="006F08FA"/>
    <w:rsid w:val="00910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7EA838"/>
  <w15:docId w15:val="{BEC57DE8-8FCE-024D-83F6-E8135D4D5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163</Words>
  <Characters>931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Shea Thayer</cp:lastModifiedBy>
  <cp:revision>3</cp:revision>
  <dcterms:created xsi:type="dcterms:W3CDTF">2024-01-10T17:42:00Z</dcterms:created>
  <dcterms:modified xsi:type="dcterms:W3CDTF">2024-01-10T18:18:00Z</dcterms:modified>
</cp:coreProperties>
</file>