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Back in Time Tutorial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In this video, we’ll look at World Book </w:t>
      </w:r>
      <w:r w:rsidDel="00000000" w:rsidR="00000000" w:rsidRPr="00000000">
        <w:rPr>
          <w:i w:val="1"/>
          <w:rtl w:val="0"/>
        </w:rPr>
        <w:t xml:space="preserve">Student’s</w:t>
      </w:r>
      <w:r w:rsidDel="00000000" w:rsidR="00000000" w:rsidRPr="00000000">
        <w:rPr>
          <w:rtl w:val="0"/>
        </w:rPr>
        <w:t xml:space="preserve"> Back in Time feature. While it is our priority to keep information presented in World Book articles current and up-to-date, we also think that it can be very interesting to read an article from the past. These articles can provide valuable insights into how people were thinking during the time of a historical event, or how our knowledge of something has changed over time. </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There are two ways to find Back in Time articles. First, if you know what topic you would like to research, simply conduct a search as you normally would by typing your search term in the box on the home page. On the results page, click “Back in Time” to see articles written in the past. The year the article was written will be in parentheses to the right of the article title. </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Second, if you are looking for a specific year, you can browse the Back in Time articles by going to Advanced Search, scrolling to the bottom, and clicking “Browse Back in Time by Year.”  This will prompt you to select a decade, then a year, and you will see all of the articles written in that year. </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