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Educator Tools (For Grown Ups)</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The look, feel, and user experience design of </w:t>
      </w:r>
      <w:r w:rsidDel="00000000" w:rsidR="00000000" w:rsidRPr="00000000">
        <w:rPr>
          <w:i w:val="1"/>
          <w:rtl w:val="0"/>
        </w:rPr>
        <w:t xml:space="preserve">Early Learning</w:t>
      </w:r>
      <w:r w:rsidDel="00000000" w:rsidR="00000000" w:rsidRPr="00000000">
        <w:rPr>
          <w:rtl w:val="0"/>
        </w:rPr>
        <w:t xml:space="preserve"> was developed for young learners, but it also has </w:t>
      </w:r>
      <w:r w:rsidDel="00000000" w:rsidR="00000000" w:rsidRPr="00000000">
        <w:rPr>
          <w:b w:val="1"/>
          <w:rtl w:val="0"/>
        </w:rPr>
        <w:t xml:space="preserve">Educator Tools</w:t>
      </w:r>
      <w:r w:rsidDel="00000000" w:rsidR="00000000" w:rsidRPr="00000000">
        <w:rPr>
          <w:rtl w:val="0"/>
        </w:rPr>
        <w:t xml:space="preserve"> available for adults to help guide students. </w:t>
      </w:r>
      <w:r w:rsidDel="00000000" w:rsidR="00000000" w:rsidRPr="00000000">
        <w:rPr>
          <w:b w:val="1"/>
          <w:rtl w:val="0"/>
        </w:rPr>
        <w:t xml:space="preserve">Educator Tools</w:t>
      </w:r>
      <w:r w:rsidDel="00000000" w:rsidR="00000000" w:rsidRPr="00000000">
        <w:rPr>
          <w:rtl w:val="0"/>
        </w:rPr>
        <w:t xml:space="preserve"> can be accessed from both the </w:t>
      </w:r>
      <w:r w:rsidDel="00000000" w:rsidR="00000000" w:rsidRPr="00000000">
        <w:rPr>
          <w:b w:val="1"/>
          <w:rtl w:val="0"/>
        </w:rPr>
        <w:t xml:space="preserve">For Grownups</w:t>
      </w:r>
      <w:r w:rsidDel="00000000" w:rsidR="00000000" w:rsidRPr="00000000">
        <w:rPr>
          <w:rtl w:val="0"/>
        </w:rPr>
        <w:t xml:space="preserve"> button near the top right-hand side of the page or from the </w:t>
      </w:r>
      <w:r w:rsidDel="00000000" w:rsidR="00000000" w:rsidRPr="00000000">
        <w:rPr>
          <w:b w:val="1"/>
          <w:rtl w:val="0"/>
        </w:rPr>
        <w:t xml:space="preserve">For Educators</w:t>
      </w:r>
      <w:r w:rsidDel="00000000" w:rsidR="00000000" w:rsidRPr="00000000">
        <w:rPr>
          <w:rtl w:val="0"/>
        </w:rPr>
        <w:t xml:space="preserve"> button in the footer.</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Educator Tools include Featured Content, Curriculum Correlations, the Guided Reading Program, Trek’s Titles, and more resources.</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Curriculum Correlations are available for nonfiction content included on </w:t>
      </w:r>
      <w:r w:rsidDel="00000000" w:rsidR="00000000" w:rsidRPr="00000000">
        <w:rPr>
          <w:i w:val="1"/>
          <w:rtl w:val="0"/>
        </w:rPr>
        <w:t xml:space="preserve">Early Learning.</w:t>
      </w:r>
      <w:r w:rsidDel="00000000" w:rsidR="00000000" w:rsidRPr="00000000">
        <w:rPr>
          <w:rtl w:val="0"/>
        </w:rPr>
        <w:t xml:space="preserve"> Correlations available include Common Core, U.S. state standards, and International Baccalaureate standards.</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To search by curriculum standard, choose the standard type, the subject, and the grade level. Once the standards display, select “materials correlated to this standard” to view a list of the content that corresponds to the chosen learning standard.</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rPr/>
      </w:pPr>
      <w:r w:rsidDel="00000000" w:rsidR="00000000" w:rsidRPr="00000000">
        <w:rPr>
          <w:i w:val="1"/>
          <w:rtl w:val="0"/>
        </w:rPr>
        <w:t xml:space="preserve">Early Learning</w:t>
      </w:r>
      <w:r w:rsidDel="00000000" w:rsidR="00000000" w:rsidRPr="00000000">
        <w:rPr>
          <w:rtl w:val="0"/>
        </w:rPr>
        <w:t xml:space="preserve"> also includes stories that have been written as part of our Guided Reading Program. The reading program is centered around 48 engaging, leveled books, collectively called “Welcome to Reading.” Each of these books incorporates Lexile measures and include a variety of additional educator support materials. These stories can be printed out as a foldable book or read online.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Additionally, each story comes with a lesson plan, which includes the Lexile measure, related skills and concepts, as well as ideas for student discussions, interactive activities, writing activities, connections to nursery rhymes and songs, and links to the foldable book and instructions for printing and folding that book.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More resources include links to the World Book Training Guide, where you can find video tutorials, written guides, promotional content, and MARC records.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