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Content Worlds</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this video, we’ll look at how </w:t>
      </w:r>
      <w:r w:rsidDel="00000000" w:rsidR="00000000" w:rsidRPr="00000000">
        <w:rPr>
          <w:i w:val="1"/>
          <w:rtl w:val="0"/>
        </w:rPr>
        <w:t xml:space="preserve">Early Learning</w:t>
      </w:r>
      <w:r w:rsidDel="00000000" w:rsidR="00000000" w:rsidRPr="00000000">
        <w:rPr>
          <w:rtl w:val="0"/>
        </w:rPr>
        <w:t xml:space="preserve"> is organized into content worlds. The homepage displays topical content worlds of information right under the header. Use the left and right arrows or swipe in either direction to view each nonfiction topic. Choose the title, icon, or the "Go" button to visit the landing page of each world.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Videos, games, stories, and activities are available from the corresponding navigational buttons near the top of homepage or by scrolling down. More of each type can be viewed by choosing the "more" buttons, which navigate to each media type’s main landing page.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All navigational buttons, instructions, captions, and titles are read aloud on Early Learning when the speaker button is activated.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Content worlds feature a wealth of expository content and serve as a child’s first interactive, visual online encyclopedia.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Each world is represented by an animated icon and uses graphical navigation system that enables emergent readers of all abilities find content.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Topics range from animals in Rainforest, Dinosaurs, Sea Creatures, Wild Animals, and Creepy-Crawlies to transportation in Tough Trucks and On the Move to early childhood themes, such as Rainbow Colors and Counting Numbers.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From each content world’s landing page, users can browse individual topics pertaining to the main subject in the featured content section near the top. For example, in the Sea Creatures content world, featured content includes Shark, Octopus, Rays, Animals that look like plants, Seahorse, and Colorful Fish.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Clicking on anything in the featured content section will open a nonfiction, beginner article about that topic. Just like in stories, the Featured Content Reader opens with the topic title and page number at the top left side of the page and are shown in spread view, so that the text always appears on the left side and images on the right.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Clicking the speaker button will allow the article to be read aloud.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Also within a content world are videos, games, stories, pictures, and activities, all related to that content world. To return to the home page, click the home button in the top left corner.</w:t>
      </w:r>
    </w:p>
    <w:p w:rsidR="00000000" w:rsidDel="00000000" w:rsidP="00000000" w:rsidRDefault="00000000" w:rsidRPr="00000000" w14:paraId="00000016">
      <w:pPr>
        <w:jc w:val="cente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