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Research Tools Video Tutorial Script</w:t>
      </w:r>
    </w:p>
    <w:p w:rsidR="00000000" w:rsidDel="00000000" w:rsidP="00000000" w:rsidRDefault="00000000" w:rsidRPr="00000000" w14:paraId="00000002">
      <w:pPr>
        <w:jc w:val="center"/>
        <w:rPr>
          <w:b w:val="1"/>
          <w:sz w:val="32"/>
          <w:szCs w:val="32"/>
          <w:u w:val="single"/>
        </w:rPr>
      </w:pPr>
      <w:r w:rsidDel="00000000" w:rsidR="00000000" w:rsidRPr="00000000">
        <w:rPr>
          <w:rtl w:val="0"/>
        </w:rPr>
      </w:r>
    </w:p>
    <w:p w:rsidR="00000000" w:rsidDel="00000000" w:rsidP="00000000" w:rsidRDefault="00000000" w:rsidRPr="00000000" w14:paraId="00000003">
      <w:pPr>
        <w:rPr>
          <w:color w:val="212529"/>
          <w:sz w:val="27"/>
          <w:szCs w:val="27"/>
          <w:highlight w:val="white"/>
        </w:rPr>
      </w:pPr>
      <w:r w:rsidDel="00000000" w:rsidR="00000000" w:rsidRPr="00000000">
        <w:rPr>
          <w:color w:val="212529"/>
          <w:sz w:val="27"/>
          <w:szCs w:val="27"/>
          <w:highlight w:val="white"/>
          <w:rtl w:val="0"/>
        </w:rPr>
        <w:t xml:space="preserve">T</w:t>
      </w:r>
      <w:r w:rsidDel="00000000" w:rsidR="00000000" w:rsidRPr="00000000">
        <w:rPr>
          <w:color w:val="212529"/>
          <w:sz w:val="27"/>
          <w:szCs w:val="27"/>
          <w:highlight w:val="white"/>
          <w:rtl w:val="0"/>
        </w:rPr>
        <w:t xml:space="preserve">his tutorial will look at the Research Tools available in </w:t>
      </w:r>
      <w:r w:rsidDel="00000000" w:rsidR="00000000" w:rsidRPr="00000000">
        <w:rPr>
          <w:i w:val="1"/>
          <w:color w:val="212529"/>
          <w:sz w:val="27"/>
          <w:szCs w:val="27"/>
          <w:highlight w:val="white"/>
          <w:rtl w:val="0"/>
        </w:rPr>
        <w:t xml:space="preserve">Discover. </w:t>
      </w:r>
      <w:r w:rsidDel="00000000" w:rsidR="00000000" w:rsidRPr="00000000">
        <w:rPr>
          <w:color w:val="212529"/>
          <w:sz w:val="27"/>
          <w:szCs w:val="27"/>
          <w:highlight w:val="white"/>
          <w:rtl w:val="0"/>
        </w:rPr>
        <w:t xml:space="preserve">You can find How to Do Research and My Research at the top of </w:t>
      </w:r>
      <w:r w:rsidDel="00000000" w:rsidR="00000000" w:rsidRPr="00000000">
        <w:rPr>
          <w:i w:val="1"/>
          <w:color w:val="212529"/>
          <w:sz w:val="27"/>
          <w:szCs w:val="27"/>
          <w:highlight w:val="white"/>
          <w:rtl w:val="0"/>
        </w:rPr>
        <w:t xml:space="preserve">Discover </w:t>
      </w:r>
      <w:r w:rsidDel="00000000" w:rsidR="00000000" w:rsidRPr="00000000">
        <w:rPr>
          <w:color w:val="212529"/>
          <w:sz w:val="27"/>
          <w:szCs w:val="27"/>
          <w:highlight w:val="white"/>
          <w:rtl w:val="0"/>
        </w:rPr>
        <w:t xml:space="preserve">under Research Tools</w:t>
      </w:r>
      <w:r w:rsidDel="00000000" w:rsidR="00000000" w:rsidRPr="00000000">
        <w:rPr>
          <w:b w:val="1"/>
          <w:color w:val="212529"/>
          <w:sz w:val="27"/>
          <w:szCs w:val="27"/>
          <w:highlight w:val="white"/>
          <w:rtl w:val="0"/>
        </w:rPr>
        <w:t xml:space="preserve">.</w:t>
      </w:r>
      <w:r w:rsidDel="00000000" w:rsidR="00000000" w:rsidRPr="00000000">
        <w:rPr>
          <w:sz w:val="28"/>
          <w:szCs w:val="28"/>
          <w:rtl w:val="0"/>
        </w:rPr>
        <w:t xml:space="preserve"> </w:t>
      </w:r>
      <w:r w:rsidDel="00000000" w:rsidR="00000000" w:rsidRPr="00000000">
        <w:rPr>
          <w:sz w:val="28"/>
          <w:szCs w:val="28"/>
          <w:rtl w:val="0"/>
        </w:rPr>
        <w:t xml:space="preserve">My Research allows users to save content and media from </w:t>
      </w:r>
      <w:r w:rsidDel="00000000" w:rsidR="00000000" w:rsidRPr="00000000">
        <w:rPr>
          <w:i w:val="1"/>
          <w:sz w:val="28"/>
          <w:szCs w:val="28"/>
          <w:rtl w:val="0"/>
        </w:rPr>
        <w:t xml:space="preserve">Discover</w:t>
      </w:r>
      <w:r w:rsidDel="00000000" w:rsidR="00000000" w:rsidRPr="00000000">
        <w:rPr>
          <w:sz w:val="28"/>
          <w:szCs w:val="28"/>
          <w:rtl w:val="0"/>
        </w:rPr>
        <w:t xml:space="preserve"> to a new or existing project. All of your existing projects will be displayed when you enter My Research. Click on a project to open it up. Content within each project is organized by content type. Click the arrow next to the resource (in this example, </w:t>
      </w:r>
      <w:r w:rsidDel="00000000" w:rsidR="00000000" w:rsidRPr="00000000">
        <w:rPr>
          <w:i w:val="1"/>
          <w:sz w:val="28"/>
          <w:szCs w:val="28"/>
          <w:rtl w:val="0"/>
        </w:rPr>
        <w:t xml:space="preserve">Discover</w:t>
      </w:r>
      <w:r w:rsidDel="00000000" w:rsidR="00000000" w:rsidRPr="00000000">
        <w:rPr>
          <w:sz w:val="28"/>
          <w:szCs w:val="28"/>
          <w:rtl w:val="0"/>
        </w:rPr>
        <w:t xml:space="preserve">) to reveal the content. Each piece of content saved will have the logo of the resource it was saved from. To open the item, click on the name. Manage your entries by deleting them or adding notes. Click Delete to remove the item from the project. Notes can be used for reminders, details to follow up on later, or other information you may want to reference in the future. To start a new note select Add Note, to view an existing note select Edit Note. The Tools in the top right corner of My Research include options to print, save, and delete the contents of the selected project. Users can create multiple projects within My Research to stay organized. Switch projects by selecting the Switch Projects drop-down menu. To exit My Research click on the World Book Discover logo to get back to the homepage or select the “exit my research” button in the upper right-hand corner. </w:t>
      </w:r>
      <w:r w:rsidDel="00000000" w:rsidR="00000000" w:rsidRPr="00000000">
        <w:rPr>
          <w:sz w:val="28"/>
          <w:szCs w:val="28"/>
          <w:highlight w:val="white"/>
          <w:rtl w:val="0"/>
        </w:rPr>
        <w:t xml:space="preserve">Navigate to How to do Research using the Research Tools drop-down menu. </w:t>
      </w:r>
      <w:r w:rsidDel="00000000" w:rsidR="00000000" w:rsidRPr="00000000">
        <w:rPr>
          <w:sz w:val="28"/>
          <w:szCs w:val="28"/>
          <w:highlight w:val="white"/>
          <w:rtl w:val="0"/>
        </w:rPr>
        <w:t xml:space="preserve">How to Do Research allows you to start from the beginning of the research process with an introduction to research skills or choose any stage of the process. </w:t>
      </w:r>
      <w:r w:rsidDel="00000000" w:rsidR="00000000" w:rsidRPr="00000000">
        <w:rPr>
          <w:sz w:val="27"/>
          <w:szCs w:val="27"/>
          <w:highlight w:val="white"/>
          <w:rtl w:val="0"/>
        </w:rPr>
        <w:t xml:space="preserve">Knowing how to do research is a valuable skill that you will be able to use again and again throughout your life</w:t>
      </w:r>
      <w:r w:rsidDel="00000000" w:rsidR="00000000" w:rsidRPr="00000000">
        <w:rPr>
          <w:color w:val="212529"/>
          <w:sz w:val="27"/>
          <w:szCs w:val="27"/>
          <w:highlight w:val="white"/>
          <w:rtl w:val="0"/>
        </w:rPr>
        <w:t xml:space="preserve">. </w:t>
      </w:r>
      <w:r w:rsidDel="00000000" w:rsidR="00000000" w:rsidRPr="00000000">
        <w:rPr>
          <w:sz w:val="28"/>
          <w:szCs w:val="28"/>
          <w:highlight w:val="white"/>
          <w:rtl w:val="0"/>
        </w:rPr>
        <w:t xml:space="preserve">There are two ways to navigate to specific skills. You can select a skill from the center of the home screen or use the table of contents on the left. Within each skill, there are additional subskills. This ensures that students and patrons can find the exact help they’re looking for. </w:t>
      </w:r>
      <w:r w:rsidDel="00000000" w:rsidR="00000000" w:rsidRPr="00000000">
        <w:rPr>
          <w:color w:val="212529"/>
          <w:sz w:val="27"/>
          <w:szCs w:val="27"/>
          <w:rtl w:val="0"/>
        </w:rPr>
        <w:t xml:space="preserve">Once you have clicked on a specific step of the process, the pop-out menu is hidden. To get back to the menu, simply click here to reveal the rest of the skills. Select another to navigate to that section of the HTDR feature.</w:t>
      </w:r>
      <w:r w:rsidDel="00000000" w:rsidR="00000000" w:rsidRPr="00000000">
        <w:rPr>
          <w:color w:val="212529"/>
          <w:sz w:val="27"/>
          <w:szCs w:val="27"/>
          <w:highlight w:val="white"/>
          <w:rtl w:val="0"/>
        </w:rPr>
        <w:t xml:space="preserve"> Using the pop-out menu allows you to quickly navigate to each subskill.</w:t>
      </w:r>
    </w:p>
    <w:p w:rsidR="00000000" w:rsidDel="00000000" w:rsidP="00000000" w:rsidRDefault="00000000" w:rsidRPr="00000000" w14:paraId="00000004">
      <w:pPr>
        <w:spacing w:after="280" w:lineRule="auto"/>
        <w:rPr>
          <w:sz w:val="28"/>
          <w:szCs w:val="28"/>
          <w:highlight w:val="white"/>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